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CD905" w14:textId="77777777" w:rsidR="0050794A" w:rsidRDefault="0050794A">
      <w:pPr>
        <w:spacing w:after="0"/>
        <w:ind w:left="2107"/>
        <w:rPr>
          <w:rFonts w:ascii="Arial" w:eastAsia="Arial" w:hAnsi="Arial" w:cs="Arial"/>
          <w:b/>
          <w:sz w:val="20"/>
          <w:u w:val="single" w:color="000000"/>
        </w:rPr>
      </w:pPr>
    </w:p>
    <w:p w14:paraId="3F3EAD1D" w14:textId="25208DCE" w:rsidR="00447DBB" w:rsidRDefault="0050794A">
      <w:pPr>
        <w:spacing w:after="0"/>
        <w:ind w:left="2107"/>
        <w:rPr>
          <w:rFonts w:ascii="Arial" w:eastAsia="Arial" w:hAnsi="Arial" w:cs="Arial"/>
          <w:b/>
          <w:sz w:val="20"/>
        </w:rPr>
      </w:pPr>
      <w:r>
        <w:rPr>
          <w:rFonts w:ascii="Arial" w:eastAsia="Arial" w:hAnsi="Arial" w:cs="Arial"/>
          <w:b/>
          <w:sz w:val="20"/>
          <w:u w:val="single" w:color="000000"/>
        </w:rPr>
        <w:t>Collaborative Working Project Executive Summary</w:t>
      </w:r>
      <w:r>
        <w:rPr>
          <w:rFonts w:ascii="Arial" w:eastAsia="Arial" w:hAnsi="Arial" w:cs="Arial"/>
          <w:b/>
          <w:sz w:val="20"/>
        </w:rPr>
        <w:t xml:space="preserve">  </w:t>
      </w:r>
    </w:p>
    <w:p w14:paraId="42DFF0C1" w14:textId="77777777" w:rsidR="0050794A" w:rsidRDefault="0050794A">
      <w:pPr>
        <w:spacing w:after="0"/>
        <w:ind w:left="2107"/>
      </w:pPr>
    </w:p>
    <w:tbl>
      <w:tblPr>
        <w:tblStyle w:val="TableGrid"/>
        <w:tblW w:w="9214" w:type="dxa"/>
        <w:tblInd w:w="6" w:type="dxa"/>
        <w:tblCellMar>
          <w:top w:w="39" w:type="dxa"/>
          <w:left w:w="110" w:type="dxa"/>
          <w:right w:w="82" w:type="dxa"/>
        </w:tblCellMar>
        <w:tblLook w:val="04A0" w:firstRow="1" w:lastRow="0" w:firstColumn="1" w:lastColumn="0" w:noHBand="0" w:noVBand="1"/>
      </w:tblPr>
      <w:tblGrid>
        <w:gridCol w:w="3422"/>
        <w:gridCol w:w="5792"/>
      </w:tblGrid>
      <w:tr w:rsidR="00447DBB" w14:paraId="6E5677B8" w14:textId="77777777">
        <w:trPr>
          <w:trHeight w:val="1240"/>
        </w:trPr>
        <w:tc>
          <w:tcPr>
            <w:tcW w:w="3422" w:type="dxa"/>
            <w:tcBorders>
              <w:top w:val="single" w:sz="4" w:space="0" w:color="000000"/>
              <w:left w:val="single" w:sz="4" w:space="0" w:color="000000"/>
              <w:bottom w:val="single" w:sz="4" w:space="0" w:color="000000"/>
              <w:right w:val="single" w:sz="4" w:space="0" w:color="000000"/>
            </w:tcBorders>
          </w:tcPr>
          <w:p w14:paraId="6283F4E5" w14:textId="77777777" w:rsidR="00447DBB" w:rsidRDefault="0050794A">
            <w:pPr>
              <w:ind w:right="33"/>
              <w:jc w:val="center"/>
            </w:pPr>
            <w:r>
              <w:rPr>
                <w:rFonts w:ascii="Arial" w:eastAsia="Arial" w:hAnsi="Arial" w:cs="Arial"/>
                <w:b/>
                <w:sz w:val="20"/>
              </w:rPr>
              <w:t xml:space="preserve">Project title </w:t>
            </w:r>
          </w:p>
        </w:tc>
        <w:tc>
          <w:tcPr>
            <w:tcW w:w="5793" w:type="dxa"/>
            <w:tcBorders>
              <w:top w:val="single" w:sz="4" w:space="0" w:color="000000"/>
              <w:left w:val="single" w:sz="4" w:space="0" w:color="000000"/>
              <w:bottom w:val="single" w:sz="4" w:space="0" w:color="000000"/>
              <w:right w:val="single" w:sz="4" w:space="0" w:color="000000"/>
            </w:tcBorders>
          </w:tcPr>
          <w:p w14:paraId="7B56DA57" w14:textId="44B56ACD" w:rsidR="00447DBB" w:rsidRDefault="0050794A" w:rsidP="0050794A">
            <w:pPr>
              <w:spacing w:after="12"/>
              <w:ind w:right="27"/>
              <w:jc w:val="center"/>
            </w:pPr>
            <w:r>
              <w:rPr>
                <w:rFonts w:ascii="Arial" w:eastAsia="Arial" w:hAnsi="Arial" w:cs="Arial"/>
                <w:sz w:val="20"/>
              </w:rPr>
              <w:t>A Collaborative Working Agreement between Sanofi and the</w:t>
            </w:r>
          </w:p>
          <w:p w14:paraId="4E03440D" w14:textId="7ECF26E4" w:rsidR="00447DBB" w:rsidRDefault="0050794A" w:rsidP="0050794A">
            <w:pPr>
              <w:ind w:left="215" w:hanging="35"/>
              <w:jc w:val="center"/>
            </w:pPr>
            <w:r>
              <w:rPr>
                <w:rFonts w:ascii="Arial" w:eastAsia="Arial" w:hAnsi="Arial" w:cs="Arial"/>
                <w:sz w:val="20"/>
              </w:rPr>
              <w:t>Multiple Sclerosis Service within Barts Health NHS Trust to review and improve the patient journey and experience for patients with multiple sclerosis.</w:t>
            </w:r>
          </w:p>
        </w:tc>
      </w:tr>
      <w:tr w:rsidR="00447DBB" w14:paraId="43D1467C" w14:textId="77777777">
        <w:trPr>
          <w:trHeight w:val="801"/>
        </w:trPr>
        <w:tc>
          <w:tcPr>
            <w:tcW w:w="3422" w:type="dxa"/>
            <w:tcBorders>
              <w:top w:val="single" w:sz="4" w:space="0" w:color="000000"/>
              <w:left w:val="single" w:sz="4" w:space="0" w:color="000000"/>
              <w:bottom w:val="single" w:sz="4" w:space="0" w:color="000000"/>
              <w:right w:val="single" w:sz="4" w:space="0" w:color="000000"/>
            </w:tcBorders>
          </w:tcPr>
          <w:p w14:paraId="063BB540" w14:textId="77777777" w:rsidR="00447DBB" w:rsidRDefault="0050794A">
            <w:pPr>
              <w:ind w:right="29"/>
              <w:jc w:val="center"/>
            </w:pPr>
            <w:r>
              <w:rPr>
                <w:rFonts w:ascii="Arial" w:eastAsia="Arial" w:hAnsi="Arial" w:cs="Arial"/>
                <w:b/>
                <w:sz w:val="20"/>
              </w:rPr>
              <w:t xml:space="preserve">Partner organisation/s </w:t>
            </w:r>
          </w:p>
        </w:tc>
        <w:tc>
          <w:tcPr>
            <w:tcW w:w="5793" w:type="dxa"/>
            <w:tcBorders>
              <w:top w:val="single" w:sz="4" w:space="0" w:color="000000"/>
              <w:left w:val="single" w:sz="4" w:space="0" w:color="000000"/>
              <w:bottom w:val="single" w:sz="4" w:space="0" w:color="000000"/>
              <w:right w:val="single" w:sz="4" w:space="0" w:color="000000"/>
            </w:tcBorders>
          </w:tcPr>
          <w:p w14:paraId="3BA4FED7" w14:textId="77777777" w:rsidR="00447DBB" w:rsidRDefault="0050794A">
            <w:pPr>
              <w:ind w:right="34"/>
              <w:jc w:val="center"/>
            </w:pPr>
            <w:r>
              <w:rPr>
                <w:rFonts w:ascii="Arial" w:eastAsia="Arial" w:hAnsi="Arial" w:cs="Arial"/>
                <w:sz w:val="20"/>
              </w:rPr>
              <w:t xml:space="preserve">Barts Health NHS Trust </w:t>
            </w:r>
          </w:p>
        </w:tc>
      </w:tr>
      <w:tr w:rsidR="00447DBB" w14:paraId="29EED00F" w14:textId="77777777">
        <w:trPr>
          <w:trHeight w:val="10353"/>
        </w:trPr>
        <w:tc>
          <w:tcPr>
            <w:tcW w:w="3422" w:type="dxa"/>
            <w:tcBorders>
              <w:top w:val="single" w:sz="4" w:space="0" w:color="000000"/>
              <w:left w:val="single" w:sz="4" w:space="0" w:color="000000"/>
              <w:bottom w:val="single" w:sz="4" w:space="0" w:color="000000"/>
              <w:right w:val="single" w:sz="4" w:space="0" w:color="000000"/>
            </w:tcBorders>
          </w:tcPr>
          <w:p w14:paraId="4E89EEB8" w14:textId="77777777" w:rsidR="00447DBB" w:rsidRDefault="0050794A">
            <w:pPr>
              <w:ind w:right="28"/>
              <w:jc w:val="center"/>
            </w:pPr>
            <w:r>
              <w:rPr>
                <w:rFonts w:ascii="Arial" w:eastAsia="Arial" w:hAnsi="Arial" w:cs="Arial"/>
                <w:b/>
                <w:sz w:val="20"/>
              </w:rPr>
              <w:t xml:space="preserve">Project rationale </w:t>
            </w:r>
          </w:p>
        </w:tc>
        <w:tc>
          <w:tcPr>
            <w:tcW w:w="5793" w:type="dxa"/>
            <w:tcBorders>
              <w:top w:val="single" w:sz="4" w:space="0" w:color="000000"/>
              <w:left w:val="single" w:sz="4" w:space="0" w:color="000000"/>
              <w:bottom w:val="single" w:sz="4" w:space="0" w:color="000000"/>
              <w:right w:val="single" w:sz="4" w:space="0" w:color="000000"/>
            </w:tcBorders>
          </w:tcPr>
          <w:p w14:paraId="1C97E35C" w14:textId="77777777" w:rsidR="00447DBB" w:rsidRDefault="0050794A">
            <w:r>
              <w:rPr>
                <w:rFonts w:ascii="Arial" w:eastAsia="Arial" w:hAnsi="Arial" w:cs="Arial"/>
                <w:sz w:val="20"/>
              </w:rPr>
              <w:t xml:space="preserve">Barts Health NHS Trust operates from four major hospital sites </w:t>
            </w:r>
          </w:p>
          <w:p w14:paraId="09FA0416" w14:textId="77777777" w:rsidR="00447DBB" w:rsidRDefault="0050794A">
            <w:r>
              <w:rPr>
                <w:rFonts w:ascii="Arial" w:eastAsia="Arial" w:hAnsi="Arial" w:cs="Arial"/>
                <w:sz w:val="20"/>
              </w:rPr>
              <w:t xml:space="preserve">(The Royal London, St Bartholomew’s, </w:t>
            </w:r>
            <w:proofErr w:type="spellStart"/>
            <w:r>
              <w:rPr>
                <w:rFonts w:ascii="Arial" w:eastAsia="Arial" w:hAnsi="Arial" w:cs="Arial"/>
                <w:sz w:val="20"/>
              </w:rPr>
              <w:t>Whipps</w:t>
            </w:r>
            <w:proofErr w:type="spellEnd"/>
            <w:r>
              <w:rPr>
                <w:rFonts w:ascii="Arial" w:eastAsia="Arial" w:hAnsi="Arial" w:cs="Arial"/>
                <w:sz w:val="20"/>
              </w:rPr>
              <w:t xml:space="preserve"> Cross and </w:t>
            </w:r>
          </w:p>
          <w:p w14:paraId="577B744B" w14:textId="77777777" w:rsidR="00447DBB" w:rsidRDefault="0050794A">
            <w:r>
              <w:rPr>
                <w:rFonts w:ascii="Arial" w:eastAsia="Arial" w:hAnsi="Arial" w:cs="Arial"/>
                <w:sz w:val="20"/>
              </w:rPr>
              <w:t xml:space="preserve">Newham). The Neurology Department at Royal London </w:t>
            </w:r>
          </w:p>
          <w:p w14:paraId="362932D8" w14:textId="77777777" w:rsidR="00447DBB" w:rsidRDefault="0050794A">
            <w:pPr>
              <w:spacing w:line="235" w:lineRule="auto"/>
              <w:ind w:right="118"/>
              <w:jc w:val="both"/>
            </w:pPr>
            <w:r>
              <w:rPr>
                <w:rFonts w:ascii="Arial" w:eastAsia="Arial" w:hAnsi="Arial" w:cs="Arial"/>
                <w:sz w:val="20"/>
              </w:rPr>
              <w:t xml:space="preserve">Hospital provides a full range of District General Hospital (DGH) services and some regional specialties for a catchment area of around 2.5 million people living in the London </w:t>
            </w:r>
          </w:p>
          <w:p w14:paraId="65905AE3" w14:textId="77777777" w:rsidR="00447DBB" w:rsidRDefault="0050794A">
            <w:pPr>
              <w:spacing w:after="212"/>
            </w:pPr>
            <w:r>
              <w:rPr>
                <w:rFonts w:ascii="Arial" w:eastAsia="Arial" w:hAnsi="Arial" w:cs="Arial"/>
                <w:sz w:val="20"/>
              </w:rPr>
              <w:t xml:space="preserve">Boroughs of Tower Hamlets, Waltham Forest and Newham. </w:t>
            </w:r>
          </w:p>
          <w:p w14:paraId="6DFBAF2C" w14:textId="77777777" w:rsidR="00447DBB" w:rsidRDefault="0050794A">
            <w:pPr>
              <w:spacing w:after="2" w:line="233" w:lineRule="auto"/>
            </w:pPr>
            <w:r>
              <w:rPr>
                <w:rFonts w:ascii="Arial" w:eastAsia="Arial" w:hAnsi="Arial" w:cs="Arial"/>
                <w:sz w:val="20"/>
              </w:rPr>
              <w:t xml:space="preserve">Approximately 150,000 patients live with Multiple Sclerosis (MS) in the UK and around 7,000 people are newly diagnosed each year.  Bart’s neurology waiting list consists of around 2,500 new patients waiting as of February 2025. The </w:t>
            </w:r>
          </w:p>
          <w:p w14:paraId="6B7C1CB9" w14:textId="77777777" w:rsidR="00447DBB" w:rsidRDefault="0050794A">
            <w:pPr>
              <w:spacing w:after="237" w:line="234" w:lineRule="auto"/>
              <w:ind w:right="18"/>
            </w:pPr>
            <w:r>
              <w:rPr>
                <w:rFonts w:ascii="Arial" w:eastAsia="Arial" w:hAnsi="Arial" w:cs="Arial"/>
                <w:sz w:val="20"/>
              </w:rPr>
              <w:t xml:space="preserve">department is performing poorly on the Referral to Treatment Waiting Times with only 45.2% seen within 18 weeks of referral compared to NHS Operational Standard of 92%. The wait to be seen for treatment is up to one year which is therefore significantly impacting on new patients starting treatment. </w:t>
            </w:r>
          </w:p>
          <w:p w14:paraId="1366DB39" w14:textId="77777777" w:rsidR="00447DBB" w:rsidRDefault="0050794A">
            <w:pPr>
              <w:spacing w:after="242" w:line="233" w:lineRule="auto"/>
            </w:pPr>
            <w:r>
              <w:rPr>
                <w:rFonts w:ascii="Arial" w:eastAsia="Arial" w:hAnsi="Arial" w:cs="Arial"/>
                <w:sz w:val="20"/>
              </w:rPr>
              <w:t xml:space="preserve">Despite current MS management for acute inflammation and relapses, patients continue to experience disease progression resulting in disability accumulation. DMTs (disease modifying treatments) are available for the treatment of </w:t>
            </w:r>
            <w:proofErr w:type="gramStart"/>
            <w:r>
              <w:rPr>
                <w:rFonts w:ascii="Arial" w:eastAsia="Arial" w:hAnsi="Arial" w:cs="Arial"/>
                <w:sz w:val="20"/>
              </w:rPr>
              <w:t>MS</w:t>
            </w:r>
            <w:proofErr w:type="gramEnd"/>
            <w:r>
              <w:rPr>
                <w:rFonts w:ascii="Arial" w:eastAsia="Arial" w:hAnsi="Arial" w:cs="Arial"/>
                <w:sz w:val="20"/>
              </w:rPr>
              <w:t xml:space="preserve"> and they are managed in secondary care in the North East London area. DMTs involve the regular utilisation of specialist hospital services. The financial burden is a particular concern with District General Hospitals who feel that they are losing out on income due a lack service level agreement between the Trusts and the ICB’s. One of the key objectives of this project is to gather evidence of the financial implications that are attached to the outpatient visits, blood monitoring and unplanned admissions for patients with MS. </w:t>
            </w:r>
          </w:p>
          <w:p w14:paraId="6BF4D07A" w14:textId="77777777" w:rsidR="00447DBB" w:rsidRDefault="0050794A">
            <w:r>
              <w:rPr>
                <w:rFonts w:ascii="Arial" w:eastAsia="Arial" w:hAnsi="Arial" w:cs="Arial"/>
                <w:sz w:val="20"/>
              </w:rPr>
              <w:t xml:space="preserve">Barts Health NHS Trust wants to conduct a review of the MS service as they recognise the need to understand where efficiencies in the process can help them free clinical capacity which in turn, will support them to reduce the waiting lists, improve efficiencies for patients &amp; staff and build resilience in the service to allow them to grow. This collaborative working project is aimed at reviewing the current pathway and service, the outcome being to provide a list of options for service improvement. In addition, there are potential service changes that could be explored which would enable some of the MS services, currently delivered in hospital, to be delivered closer to patients’ homes and potentially within patients’ homes. </w:t>
            </w:r>
          </w:p>
        </w:tc>
      </w:tr>
    </w:tbl>
    <w:p w14:paraId="49B08D1D" w14:textId="77777777" w:rsidR="00447DBB" w:rsidRDefault="00447DBB">
      <w:pPr>
        <w:spacing w:after="0"/>
        <w:ind w:left="-1440" w:right="10465"/>
      </w:pPr>
    </w:p>
    <w:tbl>
      <w:tblPr>
        <w:tblStyle w:val="TableGrid"/>
        <w:tblW w:w="9214" w:type="dxa"/>
        <w:tblInd w:w="6" w:type="dxa"/>
        <w:tblCellMar>
          <w:top w:w="39" w:type="dxa"/>
          <w:left w:w="110" w:type="dxa"/>
          <w:right w:w="96" w:type="dxa"/>
        </w:tblCellMar>
        <w:tblLook w:val="04A0" w:firstRow="1" w:lastRow="0" w:firstColumn="1" w:lastColumn="0" w:noHBand="0" w:noVBand="1"/>
      </w:tblPr>
      <w:tblGrid>
        <w:gridCol w:w="3422"/>
        <w:gridCol w:w="5792"/>
      </w:tblGrid>
      <w:tr w:rsidR="00447DBB" w14:paraId="72CA8DCD" w14:textId="77777777">
        <w:trPr>
          <w:trHeight w:val="865"/>
        </w:trPr>
        <w:tc>
          <w:tcPr>
            <w:tcW w:w="3422" w:type="dxa"/>
            <w:tcBorders>
              <w:top w:val="single" w:sz="4" w:space="0" w:color="000000"/>
              <w:left w:val="single" w:sz="4" w:space="0" w:color="000000"/>
              <w:bottom w:val="single" w:sz="4" w:space="0" w:color="000000"/>
              <w:right w:val="single" w:sz="4" w:space="0" w:color="000000"/>
            </w:tcBorders>
          </w:tcPr>
          <w:p w14:paraId="15227E2F" w14:textId="77777777" w:rsidR="00447DBB" w:rsidRDefault="0050794A">
            <w:pPr>
              <w:ind w:right="14"/>
              <w:jc w:val="center"/>
            </w:pPr>
            <w:r>
              <w:rPr>
                <w:rFonts w:ascii="Arial" w:eastAsia="Arial" w:hAnsi="Arial" w:cs="Arial"/>
                <w:b/>
                <w:sz w:val="20"/>
              </w:rPr>
              <w:lastRenderedPageBreak/>
              <w:t xml:space="preserve">Project period </w:t>
            </w:r>
          </w:p>
        </w:tc>
        <w:tc>
          <w:tcPr>
            <w:tcW w:w="5793" w:type="dxa"/>
            <w:tcBorders>
              <w:top w:val="single" w:sz="4" w:space="0" w:color="000000"/>
              <w:left w:val="single" w:sz="4" w:space="0" w:color="000000"/>
              <w:bottom w:val="single" w:sz="4" w:space="0" w:color="000000"/>
              <w:right w:val="single" w:sz="4" w:space="0" w:color="000000"/>
            </w:tcBorders>
          </w:tcPr>
          <w:p w14:paraId="674F9315" w14:textId="77777777" w:rsidR="00447DBB" w:rsidRDefault="0050794A">
            <w:r>
              <w:rPr>
                <w:rFonts w:ascii="Arial" w:eastAsia="Arial" w:hAnsi="Arial" w:cs="Arial"/>
                <w:sz w:val="20"/>
              </w:rPr>
              <w:t xml:space="preserve">2025 Quarter 2 to 2025 Quarter 4 </w:t>
            </w:r>
          </w:p>
        </w:tc>
      </w:tr>
      <w:tr w:rsidR="00447DBB" w14:paraId="2C907084" w14:textId="77777777">
        <w:trPr>
          <w:trHeight w:val="9848"/>
        </w:trPr>
        <w:tc>
          <w:tcPr>
            <w:tcW w:w="3422" w:type="dxa"/>
            <w:tcBorders>
              <w:top w:val="single" w:sz="4" w:space="0" w:color="000000"/>
              <w:left w:val="single" w:sz="4" w:space="0" w:color="000000"/>
              <w:bottom w:val="single" w:sz="4" w:space="0" w:color="000000"/>
              <w:right w:val="single" w:sz="4" w:space="0" w:color="000000"/>
            </w:tcBorders>
          </w:tcPr>
          <w:p w14:paraId="5FAEF75E" w14:textId="77777777" w:rsidR="00447DBB" w:rsidRDefault="0050794A">
            <w:pPr>
              <w:ind w:right="20"/>
              <w:jc w:val="center"/>
            </w:pPr>
            <w:r>
              <w:rPr>
                <w:rFonts w:ascii="Arial" w:eastAsia="Arial" w:hAnsi="Arial" w:cs="Arial"/>
                <w:b/>
                <w:sz w:val="20"/>
              </w:rPr>
              <w:t xml:space="preserve">Project objectives </w:t>
            </w:r>
          </w:p>
        </w:tc>
        <w:tc>
          <w:tcPr>
            <w:tcW w:w="5793" w:type="dxa"/>
            <w:tcBorders>
              <w:top w:val="single" w:sz="4" w:space="0" w:color="000000"/>
              <w:left w:val="single" w:sz="4" w:space="0" w:color="000000"/>
              <w:bottom w:val="single" w:sz="4" w:space="0" w:color="000000"/>
              <w:right w:val="single" w:sz="4" w:space="0" w:color="000000"/>
            </w:tcBorders>
          </w:tcPr>
          <w:p w14:paraId="5654C1C4" w14:textId="77777777" w:rsidR="00447DBB" w:rsidRDefault="0050794A">
            <w:pPr>
              <w:spacing w:after="200" w:line="266" w:lineRule="auto"/>
            </w:pPr>
            <w:r>
              <w:rPr>
                <w:rFonts w:ascii="Arial" w:eastAsia="Arial" w:hAnsi="Arial" w:cs="Arial"/>
                <w:sz w:val="20"/>
              </w:rPr>
              <w:t xml:space="preserve">The collaborative working project will aim to deliver the following benefits for Patients, the NHS and Sanofi: </w:t>
            </w:r>
          </w:p>
          <w:p w14:paraId="0C9A5645" w14:textId="77777777" w:rsidR="00447DBB" w:rsidRDefault="0050794A">
            <w:pPr>
              <w:spacing w:after="250"/>
            </w:pPr>
            <w:r>
              <w:rPr>
                <w:rFonts w:ascii="Arial" w:eastAsia="Arial" w:hAnsi="Arial" w:cs="Arial"/>
                <w:b/>
                <w:sz w:val="20"/>
              </w:rPr>
              <w:t xml:space="preserve">Patients: </w:t>
            </w:r>
          </w:p>
          <w:p w14:paraId="17EC5548" w14:textId="77777777" w:rsidR="00447DBB" w:rsidRDefault="0050794A">
            <w:pPr>
              <w:numPr>
                <w:ilvl w:val="0"/>
                <w:numId w:val="1"/>
              </w:numPr>
              <w:spacing w:after="37" w:line="273" w:lineRule="auto"/>
              <w:ind w:hanging="360"/>
            </w:pPr>
            <w:r>
              <w:rPr>
                <w:rFonts w:ascii="Arial" w:eastAsia="Arial" w:hAnsi="Arial" w:cs="Arial"/>
                <w:sz w:val="20"/>
              </w:rPr>
              <w:t xml:space="preserve">The feasibility of improved, timely access to MS services in the patient’s preferred location. </w:t>
            </w:r>
          </w:p>
          <w:p w14:paraId="6090782E" w14:textId="77777777" w:rsidR="00447DBB" w:rsidRDefault="0050794A">
            <w:pPr>
              <w:numPr>
                <w:ilvl w:val="0"/>
                <w:numId w:val="1"/>
              </w:numPr>
              <w:spacing w:after="194" w:line="272" w:lineRule="auto"/>
              <w:ind w:hanging="360"/>
            </w:pPr>
            <w:r>
              <w:rPr>
                <w:rFonts w:ascii="Arial" w:eastAsia="Arial" w:hAnsi="Arial" w:cs="Arial"/>
                <w:sz w:val="20"/>
              </w:rPr>
              <w:t xml:space="preserve">The possibility of improved specialist service access for treatment options requiring hospital delivery. </w:t>
            </w:r>
          </w:p>
          <w:p w14:paraId="215F726D" w14:textId="77777777" w:rsidR="00447DBB" w:rsidRDefault="0050794A">
            <w:pPr>
              <w:spacing w:after="250"/>
            </w:pPr>
            <w:r>
              <w:rPr>
                <w:rFonts w:ascii="Arial" w:eastAsia="Arial" w:hAnsi="Arial" w:cs="Arial"/>
                <w:b/>
                <w:sz w:val="20"/>
              </w:rPr>
              <w:t xml:space="preserve">NHS: </w:t>
            </w:r>
          </w:p>
          <w:p w14:paraId="65B580C9" w14:textId="77777777" w:rsidR="00447DBB" w:rsidRDefault="0050794A">
            <w:pPr>
              <w:numPr>
                <w:ilvl w:val="0"/>
                <w:numId w:val="1"/>
              </w:numPr>
              <w:spacing w:after="37" w:line="273" w:lineRule="auto"/>
              <w:ind w:hanging="360"/>
            </w:pPr>
            <w:r>
              <w:rPr>
                <w:rFonts w:ascii="Arial" w:eastAsia="Arial" w:hAnsi="Arial" w:cs="Arial"/>
                <w:sz w:val="20"/>
              </w:rPr>
              <w:t xml:space="preserve">Achieve an improved understanding of current service delivery for MS patients. </w:t>
            </w:r>
          </w:p>
          <w:p w14:paraId="7F1A79E7" w14:textId="77777777" w:rsidR="00447DBB" w:rsidRDefault="0050794A">
            <w:pPr>
              <w:numPr>
                <w:ilvl w:val="0"/>
                <w:numId w:val="1"/>
              </w:numPr>
              <w:spacing w:after="40" w:line="269" w:lineRule="auto"/>
              <w:ind w:hanging="360"/>
            </w:pPr>
            <w:r>
              <w:rPr>
                <w:rFonts w:ascii="Arial" w:eastAsia="Arial" w:hAnsi="Arial" w:cs="Arial"/>
                <w:sz w:val="20"/>
              </w:rPr>
              <w:t xml:space="preserve">Develop insight of where the service could potentially be provided to benefit patients and improve service delivery. </w:t>
            </w:r>
          </w:p>
          <w:p w14:paraId="35C39FC9" w14:textId="77777777" w:rsidR="00447DBB" w:rsidRDefault="0050794A">
            <w:pPr>
              <w:numPr>
                <w:ilvl w:val="0"/>
                <w:numId w:val="1"/>
              </w:numPr>
              <w:spacing w:after="202" w:line="269" w:lineRule="auto"/>
              <w:ind w:hanging="360"/>
            </w:pPr>
            <w:r>
              <w:rPr>
                <w:rFonts w:ascii="Arial" w:eastAsia="Arial" w:hAnsi="Arial" w:cs="Arial"/>
                <w:sz w:val="20"/>
              </w:rPr>
              <w:t xml:space="preserve">The possibility of improved specialist service capacity for treatment options requiring hospital outpatient delivery. </w:t>
            </w:r>
          </w:p>
          <w:p w14:paraId="2CD5A814" w14:textId="77777777" w:rsidR="00447DBB" w:rsidRDefault="0050794A">
            <w:pPr>
              <w:spacing w:after="227"/>
            </w:pPr>
            <w:r>
              <w:rPr>
                <w:rFonts w:ascii="Arial" w:eastAsia="Arial" w:hAnsi="Arial" w:cs="Arial"/>
                <w:b/>
                <w:sz w:val="20"/>
              </w:rPr>
              <w:t xml:space="preserve">Sanofi:   </w:t>
            </w:r>
          </w:p>
          <w:p w14:paraId="1B9DDABD" w14:textId="77777777" w:rsidR="00447DBB" w:rsidRDefault="0050794A">
            <w:pPr>
              <w:numPr>
                <w:ilvl w:val="0"/>
                <w:numId w:val="1"/>
              </w:numPr>
              <w:spacing w:after="34" w:line="270" w:lineRule="auto"/>
              <w:ind w:hanging="360"/>
            </w:pPr>
            <w:r>
              <w:rPr>
                <w:rFonts w:ascii="Arial" w:eastAsia="Arial" w:hAnsi="Arial" w:cs="Arial"/>
                <w:sz w:val="20"/>
              </w:rPr>
              <w:t xml:space="preserve">Improved understanding of the pressure points and priorities associated with treatment delivery for MS patients. </w:t>
            </w:r>
          </w:p>
          <w:p w14:paraId="11DD457A" w14:textId="77777777" w:rsidR="00447DBB" w:rsidRDefault="0050794A">
            <w:pPr>
              <w:numPr>
                <w:ilvl w:val="0"/>
                <w:numId w:val="1"/>
              </w:numPr>
              <w:spacing w:after="17"/>
              <w:ind w:hanging="360"/>
            </w:pPr>
            <w:r>
              <w:rPr>
                <w:rFonts w:ascii="Arial" w:eastAsia="Arial" w:hAnsi="Arial" w:cs="Arial"/>
                <w:sz w:val="20"/>
              </w:rPr>
              <w:t xml:space="preserve">Improved corporate reputation within Barts. </w:t>
            </w:r>
          </w:p>
          <w:p w14:paraId="70BF115D" w14:textId="77777777" w:rsidR="00447DBB" w:rsidRDefault="0050794A">
            <w:pPr>
              <w:numPr>
                <w:ilvl w:val="0"/>
                <w:numId w:val="1"/>
              </w:numPr>
              <w:spacing w:after="202" w:line="270" w:lineRule="auto"/>
              <w:ind w:hanging="360"/>
            </w:pPr>
            <w:r>
              <w:rPr>
                <w:rFonts w:ascii="Arial" w:eastAsia="Arial" w:hAnsi="Arial" w:cs="Arial"/>
                <w:sz w:val="20"/>
              </w:rPr>
              <w:t xml:space="preserve">As Sanofi produce medicines within this disease area if overall patient care is optimised there may be an increase in the usage of these products in line with national and local guidelines. Sanofi has a product in MS that is under regulatory and reimbursement review in 2025. </w:t>
            </w:r>
          </w:p>
          <w:p w14:paraId="6D0A17E4" w14:textId="77777777" w:rsidR="00447DBB" w:rsidRDefault="0050794A">
            <w:pPr>
              <w:spacing w:after="2" w:line="232" w:lineRule="auto"/>
            </w:pPr>
            <w:r>
              <w:rPr>
                <w:rFonts w:ascii="Arial" w:eastAsia="Arial" w:hAnsi="Arial" w:cs="Arial"/>
                <w:sz w:val="20"/>
              </w:rPr>
              <w:t xml:space="preserve">As a result of the project, there could also be an increase in the usage of other medications made by other pharmaceutical companies in line with national and local guidelines.   </w:t>
            </w:r>
          </w:p>
          <w:p w14:paraId="37437074" w14:textId="77777777" w:rsidR="00447DBB" w:rsidRDefault="0050794A">
            <w:r>
              <w:rPr>
                <w:rFonts w:ascii="Arial" w:eastAsia="Arial" w:hAnsi="Arial" w:cs="Arial"/>
                <w:sz w:val="20"/>
              </w:rPr>
              <w:t xml:space="preserve"> </w:t>
            </w:r>
          </w:p>
          <w:p w14:paraId="313DD7E6" w14:textId="545124B8" w:rsidR="00447DBB" w:rsidRDefault="0050794A">
            <w:r>
              <w:rPr>
                <w:rFonts w:ascii="Arial" w:eastAsia="Arial" w:hAnsi="Arial" w:cs="Arial"/>
                <w:sz w:val="20"/>
              </w:rPr>
              <w:t xml:space="preserve">This project will be supported by pooling of resources approximately £10,137 (Sanofi 51%, NHS 49%) </w:t>
            </w:r>
          </w:p>
        </w:tc>
      </w:tr>
      <w:tr w:rsidR="00447DBB" w14:paraId="1666B3AB" w14:textId="77777777">
        <w:trPr>
          <w:trHeight w:val="1785"/>
        </w:trPr>
        <w:tc>
          <w:tcPr>
            <w:tcW w:w="3422" w:type="dxa"/>
            <w:tcBorders>
              <w:top w:val="single" w:sz="4" w:space="0" w:color="000000"/>
              <w:left w:val="single" w:sz="4" w:space="0" w:color="000000"/>
              <w:bottom w:val="single" w:sz="4" w:space="0" w:color="000000"/>
              <w:right w:val="single" w:sz="4" w:space="0" w:color="000000"/>
            </w:tcBorders>
          </w:tcPr>
          <w:p w14:paraId="3C394940" w14:textId="77777777" w:rsidR="00447DBB" w:rsidRDefault="0050794A">
            <w:pPr>
              <w:ind w:right="15"/>
              <w:jc w:val="center"/>
            </w:pPr>
            <w:r>
              <w:rPr>
                <w:rFonts w:ascii="Arial" w:eastAsia="Arial" w:hAnsi="Arial" w:cs="Arial"/>
                <w:b/>
                <w:sz w:val="20"/>
              </w:rPr>
              <w:t xml:space="preserve">Contact details </w:t>
            </w:r>
          </w:p>
        </w:tc>
        <w:tc>
          <w:tcPr>
            <w:tcW w:w="5793" w:type="dxa"/>
            <w:tcBorders>
              <w:top w:val="single" w:sz="4" w:space="0" w:color="000000"/>
              <w:left w:val="single" w:sz="4" w:space="0" w:color="000000"/>
              <w:bottom w:val="single" w:sz="4" w:space="0" w:color="000000"/>
              <w:right w:val="single" w:sz="4" w:space="0" w:color="000000"/>
            </w:tcBorders>
          </w:tcPr>
          <w:p w14:paraId="7CBBF928" w14:textId="77777777" w:rsidR="00447DBB" w:rsidRDefault="0050794A">
            <w:pPr>
              <w:spacing w:after="212"/>
            </w:pPr>
            <w:r>
              <w:rPr>
                <w:rFonts w:ascii="Arial" w:eastAsia="Arial" w:hAnsi="Arial" w:cs="Arial"/>
                <w:b/>
                <w:sz w:val="20"/>
                <w:u w:val="single" w:color="000000"/>
              </w:rPr>
              <w:t xml:space="preserve">Barts Health </w:t>
            </w:r>
            <w:proofErr w:type="gramStart"/>
            <w:r>
              <w:rPr>
                <w:rFonts w:ascii="Arial" w:eastAsia="Arial" w:hAnsi="Arial" w:cs="Arial"/>
                <w:b/>
                <w:sz w:val="20"/>
                <w:u w:val="single" w:color="000000"/>
              </w:rPr>
              <w:t>NHS  Trust</w:t>
            </w:r>
            <w:proofErr w:type="gramEnd"/>
            <w:r>
              <w:rPr>
                <w:rFonts w:ascii="Arial" w:eastAsia="Arial" w:hAnsi="Arial" w:cs="Arial"/>
                <w:sz w:val="20"/>
              </w:rPr>
              <w:t xml:space="preserve">  </w:t>
            </w:r>
          </w:p>
          <w:p w14:paraId="52527CB9" w14:textId="77777777" w:rsidR="00447DBB" w:rsidRDefault="0050794A">
            <w:r>
              <w:rPr>
                <w:rFonts w:ascii="Arial" w:eastAsia="Arial" w:hAnsi="Arial" w:cs="Arial"/>
                <w:sz w:val="20"/>
              </w:rPr>
              <w:t xml:space="preserve">Dr S Gnanapavan </w:t>
            </w:r>
          </w:p>
          <w:p w14:paraId="4187B586" w14:textId="77777777" w:rsidR="00447DBB" w:rsidRDefault="0050794A">
            <w:r>
              <w:rPr>
                <w:rFonts w:ascii="Arial" w:eastAsia="Arial" w:hAnsi="Arial" w:cs="Arial"/>
                <w:sz w:val="20"/>
              </w:rPr>
              <w:t xml:space="preserve">Lead Consultant Neurologist  </w:t>
            </w:r>
          </w:p>
          <w:p w14:paraId="0E4BBA3D" w14:textId="77777777" w:rsidR="00447DBB" w:rsidRDefault="0050794A">
            <w:r>
              <w:rPr>
                <w:rFonts w:ascii="Arial" w:eastAsia="Arial" w:hAnsi="Arial" w:cs="Arial"/>
                <w:sz w:val="20"/>
              </w:rPr>
              <w:t xml:space="preserve">Barts Health NHS Foundation Trust </w:t>
            </w:r>
          </w:p>
          <w:p w14:paraId="0A346080" w14:textId="77777777" w:rsidR="00447DBB" w:rsidRDefault="0050794A">
            <w:r>
              <w:rPr>
                <w:rFonts w:ascii="Arial" w:eastAsia="Arial" w:hAnsi="Arial" w:cs="Arial"/>
                <w:sz w:val="20"/>
              </w:rPr>
              <w:t xml:space="preserve">The Royal London Hospital, 80 Newark Street, London, E1 2ES  </w:t>
            </w:r>
          </w:p>
        </w:tc>
      </w:tr>
      <w:tr w:rsidR="00447DBB" w14:paraId="40032EF8" w14:textId="77777777">
        <w:trPr>
          <w:trHeight w:val="1951"/>
        </w:trPr>
        <w:tc>
          <w:tcPr>
            <w:tcW w:w="3422" w:type="dxa"/>
            <w:tcBorders>
              <w:top w:val="single" w:sz="4" w:space="0" w:color="000000"/>
              <w:left w:val="single" w:sz="4" w:space="0" w:color="000000"/>
              <w:bottom w:val="single" w:sz="4" w:space="0" w:color="000000"/>
              <w:right w:val="single" w:sz="4" w:space="0" w:color="000000"/>
            </w:tcBorders>
          </w:tcPr>
          <w:p w14:paraId="7D075E31" w14:textId="77777777" w:rsidR="00447DBB" w:rsidRDefault="00447DBB"/>
        </w:tc>
        <w:tc>
          <w:tcPr>
            <w:tcW w:w="5793" w:type="dxa"/>
            <w:tcBorders>
              <w:top w:val="single" w:sz="4" w:space="0" w:color="000000"/>
              <w:left w:val="single" w:sz="4" w:space="0" w:color="000000"/>
              <w:bottom w:val="single" w:sz="4" w:space="0" w:color="000000"/>
              <w:right w:val="single" w:sz="4" w:space="0" w:color="000000"/>
            </w:tcBorders>
          </w:tcPr>
          <w:p w14:paraId="1EB56B0C" w14:textId="77777777" w:rsidR="00447DBB" w:rsidRDefault="0050794A">
            <w:pPr>
              <w:spacing w:after="207"/>
            </w:pPr>
            <w:r>
              <w:rPr>
                <w:rFonts w:ascii="Arial" w:eastAsia="Arial" w:hAnsi="Arial" w:cs="Arial"/>
                <w:b/>
                <w:sz w:val="20"/>
                <w:u w:val="single" w:color="000000"/>
              </w:rPr>
              <w:t>Sanofi</w:t>
            </w:r>
            <w:r>
              <w:rPr>
                <w:rFonts w:ascii="Arial" w:eastAsia="Arial" w:hAnsi="Arial" w:cs="Arial"/>
                <w:sz w:val="20"/>
              </w:rPr>
              <w:t xml:space="preserve">   </w:t>
            </w:r>
          </w:p>
          <w:p w14:paraId="30D87EE8" w14:textId="77777777" w:rsidR="00447DBB" w:rsidRDefault="0050794A">
            <w:pPr>
              <w:spacing w:after="12"/>
            </w:pPr>
            <w:r>
              <w:rPr>
                <w:rFonts w:ascii="Arial" w:eastAsia="Arial" w:hAnsi="Arial" w:cs="Arial"/>
                <w:sz w:val="20"/>
              </w:rPr>
              <w:t xml:space="preserve">Paul Naish   </w:t>
            </w:r>
          </w:p>
          <w:p w14:paraId="7C89520F" w14:textId="77777777" w:rsidR="00447DBB" w:rsidRDefault="0050794A">
            <w:pPr>
              <w:spacing w:after="7"/>
            </w:pPr>
            <w:r>
              <w:rPr>
                <w:rFonts w:ascii="Arial" w:eastAsia="Arial" w:hAnsi="Arial" w:cs="Arial"/>
                <w:sz w:val="20"/>
              </w:rPr>
              <w:t xml:space="preserve">Head of Market Access UK&amp;IE   </w:t>
            </w:r>
          </w:p>
          <w:p w14:paraId="3B1E0A1A" w14:textId="77777777" w:rsidR="00447DBB" w:rsidRDefault="0050794A">
            <w:pPr>
              <w:spacing w:after="7"/>
            </w:pPr>
            <w:r>
              <w:rPr>
                <w:rFonts w:ascii="Arial" w:eastAsia="Arial" w:hAnsi="Arial" w:cs="Arial"/>
                <w:sz w:val="20"/>
              </w:rPr>
              <w:t xml:space="preserve">Sanofi   </w:t>
            </w:r>
          </w:p>
          <w:p w14:paraId="0A765CA4" w14:textId="77777777" w:rsidR="00447DBB" w:rsidRDefault="0050794A">
            <w:pPr>
              <w:spacing w:after="16" w:line="271" w:lineRule="auto"/>
            </w:pPr>
            <w:r>
              <w:rPr>
                <w:rFonts w:ascii="Arial" w:eastAsia="Arial" w:hAnsi="Arial" w:cs="Arial"/>
                <w:sz w:val="20"/>
              </w:rPr>
              <w:t>410 Thames Valley Park Drive, Reading, Berkshire, RG6 1</w:t>
            </w:r>
            <w:proofErr w:type="gramStart"/>
            <w:r>
              <w:rPr>
                <w:rFonts w:ascii="Arial" w:eastAsia="Arial" w:hAnsi="Arial" w:cs="Arial"/>
                <w:sz w:val="20"/>
              </w:rPr>
              <w:t>PT  GB-patientaccess@sanofi.com</w:t>
            </w:r>
            <w:proofErr w:type="gramEnd"/>
            <w:r>
              <w:rPr>
                <w:rFonts w:ascii="Arial" w:eastAsia="Arial" w:hAnsi="Arial" w:cs="Arial"/>
                <w:sz w:val="20"/>
              </w:rPr>
              <w:t xml:space="preserve">  </w:t>
            </w:r>
          </w:p>
          <w:p w14:paraId="79CCC735" w14:textId="77777777" w:rsidR="00447DBB" w:rsidRDefault="0050794A">
            <w:r>
              <w:rPr>
                <w:rFonts w:ascii="Arial" w:eastAsia="Arial" w:hAnsi="Arial" w:cs="Arial"/>
                <w:sz w:val="20"/>
              </w:rPr>
              <w:t xml:space="preserve"> </w:t>
            </w:r>
          </w:p>
        </w:tc>
      </w:tr>
    </w:tbl>
    <w:p w14:paraId="56CCD14A" w14:textId="2427985E" w:rsidR="00447DBB" w:rsidRDefault="0050794A" w:rsidP="0017699E">
      <w:pPr>
        <w:spacing w:after="212"/>
        <w:ind w:left="1"/>
      </w:pPr>
      <w:r>
        <w:rPr>
          <w:rFonts w:ascii="Arial" w:eastAsia="Arial" w:hAnsi="Arial" w:cs="Arial"/>
          <w:sz w:val="20"/>
        </w:rPr>
        <w:t xml:space="preserve"> </w:t>
      </w:r>
    </w:p>
    <w:sectPr w:rsidR="00447DBB">
      <w:headerReference w:type="even" r:id="rId7"/>
      <w:headerReference w:type="default" r:id="rId8"/>
      <w:footerReference w:type="even" r:id="rId9"/>
      <w:footerReference w:type="default" r:id="rId10"/>
      <w:headerReference w:type="first" r:id="rId11"/>
      <w:footerReference w:type="first" r:id="rId12"/>
      <w:pgSz w:w="11905" w:h="16840"/>
      <w:pgMar w:top="1440" w:right="1440" w:bottom="1440" w:left="1440" w:header="708"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75B23" w14:textId="77777777" w:rsidR="0050794A" w:rsidRDefault="0050794A">
      <w:pPr>
        <w:spacing w:after="0" w:line="240" w:lineRule="auto"/>
      </w:pPr>
      <w:r>
        <w:separator/>
      </w:r>
    </w:p>
  </w:endnote>
  <w:endnote w:type="continuationSeparator" w:id="0">
    <w:p w14:paraId="4172677E" w14:textId="77777777" w:rsidR="0050794A" w:rsidRDefault="00507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05AFA" w14:textId="77777777" w:rsidR="00447DBB" w:rsidRDefault="0050794A">
    <w:pPr>
      <w:spacing w:after="0"/>
      <w:ind w:right="1"/>
      <w:jc w:val="center"/>
    </w:pPr>
    <w:r>
      <w:rPr>
        <w:noProof/>
      </w:rPr>
      <mc:AlternateContent>
        <mc:Choice Requires="wpg">
          <w:drawing>
            <wp:anchor distT="0" distB="0" distL="114300" distR="114300" simplePos="0" relativeHeight="251664384" behindDoc="0" locked="0" layoutInCell="1" allowOverlap="1" wp14:anchorId="142E1ED5" wp14:editId="48618A53">
              <wp:simplePos x="0" y="0"/>
              <wp:positionH relativeFrom="page">
                <wp:posOffset>536893</wp:posOffset>
              </wp:positionH>
              <wp:positionV relativeFrom="page">
                <wp:posOffset>10035857</wp:posOffset>
              </wp:positionV>
              <wp:extent cx="6492241" cy="6350"/>
              <wp:effectExtent l="0" t="0" r="0" b="0"/>
              <wp:wrapSquare wrapText="bothSides"/>
              <wp:docPr id="4238" name="Group 4238"/>
              <wp:cNvGraphicFramePr/>
              <a:graphic xmlns:a="http://schemas.openxmlformats.org/drawingml/2006/main">
                <a:graphicData uri="http://schemas.microsoft.com/office/word/2010/wordprocessingGroup">
                  <wpg:wgp>
                    <wpg:cNvGrpSpPr/>
                    <wpg:grpSpPr>
                      <a:xfrm>
                        <a:off x="0" y="0"/>
                        <a:ext cx="6492241" cy="6350"/>
                        <a:chOff x="0" y="0"/>
                        <a:chExt cx="6492241" cy="6350"/>
                      </a:xfrm>
                    </wpg:grpSpPr>
                    <wps:wsp>
                      <wps:cNvPr id="4356" name="Shape 4356"/>
                      <wps:cNvSpPr/>
                      <wps:spPr>
                        <a:xfrm>
                          <a:off x="0" y="0"/>
                          <a:ext cx="6492241" cy="9144"/>
                        </a:xfrm>
                        <a:custGeom>
                          <a:avLst/>
                          <a:gdLst/>
                          <a:ahLst/>
                          <a:cxnLst/>
                          <a:rect l="0" t="0" r="0" b="0"/>
                          <a:pathLst>
                            <a:path w="6492241" h="9144">
                              <a:moveTo>
                                <a:pt x="0" y="0"/>
                              </a:moveTo>
                              <a:lnTo>
                                <a:pt x="6492241" y="0"/>
                              </a:lnTo>
                              <a:lnTo>
                                <a:pt x="6492241"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4238" style="width:511.2pt;height:0.5pt;position:absolute;mso-position-horizontal-relative:page;mso-position-horizontal:absolute;margin-left:42.275pt;mso-position-vertical-relative:page;margin-top:790.225pt;" coordsize="64922,63">
              <v:shape id="Shape 4357" style="position:absolute;width:64922;height:91;left:0;top:0;" coordsize="6492241,9144" path="m0,0l6492241,0l6492241,9144l0,9144l0,0">
                <v:stroke weight="0pt" endcap="flat" joinstyle="miter" miterlimit="10" on="false" color="#000000" opacity="0"/>
                <v:fill on="true" color="#ff0000"/>
              </v:shape>
              <w10:wrap type="square"/>
            </v:group>
          </w:pict>
        </mc:Fallback>
      </mc:AlternateContent>
    </w:r>
    <w:r>
      <w:rPr>
        <w:rFonts w:ascii="Verdana" w:eastAsia="Verdana" w:hAnsi="Verdana" w:cs="Verdana"/>
        <w:color w:val="595959"/>
        <w:sz w:val="14"/>
      </w:rPr>
      <w:t>All or part of the information contained in this document should be treated as the property of Sanofi or its affiliates.</w:t>
    </w:r>
    <w:r>
      <w:rPr>
        <w:rFonts w:ascii="Verdana" w:eastAsia="Verdana" w:hAnsi="Verdana" w:cs="Verdana"/>
        <w:b/>
        <w:color w:val="595959"/>
        <w:sz w:val="14"/>
      </w:rPr>
      <w:t xml:space="preserve"> </w:t>
    </w:r>
  </w:p>
  <w:p w14:paraId="108F03C9" w14:textId="77777777" w:rsidR="00447DBB" w:rsidRDefault="0050794A">
    <w:pPr>
      <w:spacing w:after="0" w:line="240" w:lineRule="auto"/>
      <w:ind w:left="2"/>
      <w:jc w:val="center"/>
    </w:pPr>
    <w:r>
      <w:rPr>
        <w:rFonts w:ascii="Verdana" w:eastAsia="Verdana" w:hAnsi="Verdana" w:cs="Verdana"/>
        <w:color w:val="595959"/>
        <w:sz w:val="14"/>
      </w:rPr>
      <w:t xml:space="preserve">It cannot be published or divulged for whatever purpose to any third party, unless an appropriate non-disclosure </w:t>
    </w:r>
    <w:proofErr w:type="gramStart"/>
    <w:r>
      <w:rPr>
        <w:rFonts w:ascii="Verdana" w:eastAsia="Verdana" w:hAnsi="Verdana" w:cs="Verdana"/>
        <w:color w:val="595959"/>
        <w:sz w:val="14"/>
      </w:rPr>
      <w:t>agreement  has</w:t>
    </w:r>
    <w:proofErr w:type="gramEnd"/>
    <w:r>
      <w:rPr>
        <w:rFonts w:ascii="Verdana" w:eastAsia="Verdana" w:hAnsi="Verdana" w:cs="Verdana"/>
        <w:color w:val="595959"/>
        <w:sz w:val="14"/>
      </w:rPr>
      <w:t xml:space="preserve"> been signed by the third party and prior approval is obtained from the Sanofi function owning this document.</w:t>
    </w:r>
    <w:r>
      <w:rPr>
        <w:rFonts w:ascii="Verdana" w:eastAsia="Verdana" w:hAnsi="Verdana" w:cs="Verdana"/>
        <w:b/>
        <w:color w:val="595959"/>
        <w:sz w:val="14"/>
      </w:rPr>
      <w:t xml:space="preserve"> </w:t>
    </w:r>
  </w:p>
  <w:p w14:paraId="5990FD20" w14:textId="77777777" w:rsidR="00447DBB" w:rsidRDefault="0050794A">
    <w:pPr>
      <w:spacing w:after="0"/>
      <w:ind w:left="16"/>
      <w:jc w:val="center"/>
    </w:pPr>
    <w:r>
      <w:rPr>
        <w:rFonts w:ascii="Verdana" w:eastAsia="Verdana" w:hAnsi="Verdana" w:cs="Verdana"/>
        <w:color w:val="595959"/>
        <w:sz w:val="14"/>
      </w:rPr>
      <w:t>Printed documents must be checked against Intranet to ensure the use of the latest effective version</w:t>
    </w:r>
    <w:r>
      <w:rPr>
        <w:rFonts w:ascii="Verdana" w:eastAsia="Verdana" w:hAnsi="Verdana" w:cs="Verdana"/>
        <w:color w:val="FF0000"/>
        <w:sz w:val="14"/>
      </w:rPr>
      <w:t>.</w:t>
    </w:r>
    <w:r>
      <w:rPr>
        <w:rFonts w:ascii="Verdana" w:eastAsia="Verdana" w:hAnsi="Verdana" w:cs="Verdana"/>
        <w:b/>
        <w:color w:val="FF0000"/>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730F" w14:textId="6FBCA1F5" w:rsidR="00447DBB" w:rsidRPr="00C11B52" w:rsidRDefault="00C11B52" w:rsidP="00C11B52">
    <w:pPr>
      <w:spacing w:after="0"/>
      <w:rPr>
        <w:sz w:val="20"/>
        <w:szCs w:val="20"/>
      </w:rPr>
    </w:pPr>
    <w:r w:rsidRPr="00C11B52">
      <w:rPr>
        <w:rFonts w:ascii="Verdana" w:eastAsia="Verdana" w:hAnsi="Verdana" w:cs="Verdana"/>
        <w:b/>
        <w:color w:val="FF0000"/>
        <w:sz w:val="20"/>
        <w:szCs w:val="20"/>
      </w:rPr>
      <w:t>MAT-XU-2502107</w:t>
    </w:r>
    <w:r w:rsidR="0050794A" w:rsidRPr="00C11B52">
      <w:rPr>
        <w:rFonts w:ascii="Verdana" w:eastAsia="Verdana" w:hAnsi="Verdana" w:cs="Verdana"/>
        <w:b/>
        <w:color w:val="FF0000"/>
        <w:sz w:val="20"/>
        <w:szCs w:val="20"/>
      </w:rPr>
      <w:t xml:space="preserve"> </w:t>
    </w:r>
    <w:r>
      <w:rPr>
        <w:rFonts w:ascii="Verdana" w:eastAsia="Verdana" w:hAnsi="Verdana" w:cs="Verdana"/>
        <w:b/>
        <w:color w:val="FF0000"/>
        <w:sz w:val="20"/>
        <w:szCs w:val="20"/>
      </w:rPr>
      <w:t>(v1.0)</w:t>
    </w:r>
    <w:r>
      <w:rPr>
        <w:rFonts w:ascii="Verdana" w:eastAsia="Verdana" w:hAnsi="Verdana" w:cs="Verdana"/>
        <w:b/>
        <w:color w:val="FF0000"/>
        <w:sz w:val="20"/>
        <w:szCs w:val="20"/>
      </w:rPr>
      <w:tab/>
    </w:r>
    <w:r>
      <w:rPr>
        <w:rFonts w:ascii="Verdana" w:eastAsia="Verdana" w:hAnsi="Verdana" w:cs="Verdana"/>
        <w:b/>
        <w:color w:val="FF0000"/>
        <w:sz w:val="20"/>
        <w:szCs w:val="20"/>
      </w:rPr>
      <w:tab/>
    </w:r>
    <w:r>
      <w:rPr>
        <w:rFonts w:ascii="Verdana" w:eastAsia="Verdana" w:hAnsi="Verdana" w:cs="Verdana"/>
        <w:b/>
        <w:color w:val="FF0000"/>
        <w:sz w:val="20"/>
        <w:szCs w:val="20"/>
      </w:rPr>
      <w:tab/>
    </w:r>
    <w:r>
      <w:rPr>
        <w:rFonts w:ascii="Verdana" w:eastAsia="Verdana" w:hAnsi="Verdana" w:cs="Verdana"/>
        <w:b/>
        <w:color w:val="FF0000"/>
        <w:sz w:val="20"/>
        <w:szCs w:val="20"/>
      </w:rPr>
      <w:tab/>
    </w:r>
    <w:r>
      <w:rPr>
        <w:rFonts w:ascii="Verdana" w:eastAsia="Verdana" w:hAnsi="Verdana" w:cs="Verdana"/>
        <w:b/>
        <w:color w:val="FF0000"/>
        <w:sz w:val="20"/>
        <w:szCs w:val="20"/>
      </w:rPr>
      <w:tab/>
    </w:r>
    <w:r>
      <w:rPr>
        <w:rFonts w:ascii="Verdana" w:eastAsia="Verdana" w:hAnsi="Verdana" w:cs="Verdana"/>
        <w:b/>
        <w:color w:val="FF0000"/>
        <w:sz w:val="20"/>
        <w:szCs w:val="20"/>
      </w:rPr>
      <w:tab/>
    </w:r>
    <w:r>
      <w:rPr>
        <w:rFonts w:ascii="Verdana" w:eastAsia="Verdana" w:hAnsi="Verdana" w:cs="Verdana"/>
        <w:b/>
        <w:color w:val="FF0000"/>
        <w:sz w:val="20"/>
        <w:szCs w:val="20"/>
      </w:rPr>
      <w:tab/>
      <w:t>May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AF455" w14:textId="77777777" w:rsidR="00447DBB" w:rsidRDefault="0050794A">
    <w:pPr>
      <w:spacing w:after="0"/>
      <w:ind w:right="1"/>
      <w:jc w:val="center"/>
    </w:pPr>
    <w:r>
      <w:rPr>
        <w:noProof/>
      </w:rPr>
      <mc:AlternateContent>
        <mc:Choice Requires="wpg">
          <w:drawing>
            <wp:anchor distT="0" distB="0" distL="114300" distR="114300" simplePos="0" relativeHeight="251666432" behindDoc="0" locked="0" layoutInCell="1" allowOverlap="1" wp14:anchorId="0858F432" wp14:editId="579CCFA5">
              <wp:simplePos x="0" y="0"/>
              <wp:positionH relativeFrom="page">
                <wp:posOffset>536893</wp:posOffset>
              </wp:positionH>
              <wp:positionV relativeFrom="page">
                <wp:posOffset>10035857</wp:posOffset>
              </wp:positionV>
              <wp:extent cx="6492241" cy="6350"/>
              <wp:effectExtent l="0" t="0" r="0" b="0"/>
              <wp:wrapSquare wrapText="bothSides"/>
              <wp:docPr id="4158" name="Group 4158"/>
              <wp:cNvGraphicFramePr/>
              <a:graphic xmlns:a="http://schemas.openxmlformats.org/drawingml/2006/main">
                <a:graphicData uri="http://schemas.microsoft.com/office/word/2010/wordprocessingGroup">
                  <wpg:wgp>
                    <wpg:cNvGrpSpPr/>
                    <wpg:grpSpPr>
                      <a:xfrm>
                        <a:off x="0" y="0"/>
                        <a:ext cx="6492241" cy="6350"/>
                        <a:chOff x="0" y="0"/>
                        <a:chExt cx="6492241" cy="6350"/>
                      </a:xfrm>
                    </wpg:grpSpPr>
                    <wps:wsp>
                      <wps:cNvPr id="4352" name="Shape 4352"/>
                      <wps:cNvSpPr/>
                      <wps:spPr>
                        <a:xfrm>
                          <a:off x="0" y="0"/>
                          <a:ext cx="6492241" cy="9144"/>
                        </a:xfrm>
                        <a:custGeom>
                          <a:avLst/>
                          <a:gdLst/>
                          <a:ahLst/>
                          <a:cxnLst/>
                          <a:rect l="0" t="0" r="0" b="0"/>
                          <a:pathLst>
                            <a:path w="6492241" h="9144">
                              <a:moveTo>
                                <a:pt x="0" y="0"/>
                              </a:moveTo>
                              <a:lnTo>
                                <a:pt x="6492241" y="0"/>
                              </a:lnTo>
                              <a:lnTo>
                                <a:pt x="6492241"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4158" style="width:511.2pt;height:0.5pt;position:absolute;mso-position-horizontal-relative:page;mso-position-horizontal:absolute;margin-left:42.275pt;mso-position-vertical-relative:page;margin-top:790.225pt;" coordsize="64922,63">
              <v:shape id="Shape 4353" style="position:absolute;width:64922;height:91;left:0;top:0;" coordsize="6492241,9144" path="m0,0l6492241,0l6492241,9144l0,9144l0,0">
                <v:stroke weight="0pt" endcap="flat" joinstyle="miter" miterlimit="10" on="false" color="#000000" opacity="0"/>
                <v:fill on="true" color="#ff0000"/>
              </v:shape>
              <w10:wrap type="square"/>
            </v:group>
          </w:pict>
        </mc:Fallback>
      </mc:AlternateContent>
    </w:r>
    <w:r>
      <w:rPr>
        <w:rFonts w:ascii="Verdana" w:eastAsia="Verdana" w:hAnsi="Verdana" w:cs="Verdana"/>
        <w:color w:val="595959"/>
        <w:sz w:val="14"/>
      </w:rPr>
      <w:t>All or part of the information contained in this document should be treated as the property of Sanofi or its affiliates.</w:t>
    </w:r>
    <w:r>
      <w:rPr>
        <w:rFonts w:ascii="Verdana" w:eastAsia="Verdana" w:hAnsi="Verdana" w:cs="Verdana"/>
        <w:b/>
        <w:color w:val="595959"/>
        <w:sz w:val="14"/>
      </w:rPr>
      <w:t xml:space="preserve"> </w:t>
    </w:r>
  </w:p>
  <w:p w14:paraId="162C043F" w14:textId="77777777" w:rsidR="00447DBB" w:rsidRDefault="0050794A">
    <w:pPr>
      <w:spacing w:after="0" w:line="240" w:lineRule="auto"/>
      <w:ind w:left="2"/>
      <w:jc w:val="center"/>
    </w:pPr>
    <w:r>
      <w:rPr>
        <w:rFonts w:ascii="Verdana" w:eastAsia="Verdana" w:hAnsi="Verdana" w:cs="Verdana"/>
        <w:color w:val="595959"/>
        <w:sz w:val="14"/>
      </w:rPr>
      <w:t xml:space="preserve">It cannot be published or divulged for whatever purpose to any third party, unless an appropriate non-disclosure </w:t>
    </w:r>
    <w:proofErr w:type="gramStart"/>
    <w:r>
      <w:rPr>
        <w:rFonts w:ascii="Verdana" w:eastAsia="Verdana" w:hAnsi="Verdana" w:cs="Verdana"/>
        <w:color w:val="595959"/>
        <w:sz w:val="14"/>
      </w:rPr>
      <w:t>agreement  has</w:t>
    </w:r>
    <w:proofErr w:type="gramEnd"/>
    <w:r>
      <w:rPr>
        <w:rFonts w:ascii="Verdana" w:eastAsia="Verdana" w:hAnsi="Verdana" w:cs="Verdana"/>
        <w:color w:val="595959"/>
        <w:sz w:val="14"/>
      </w:rPr>
      <w:t xml:space="preserve"> been signed by the third party and prior approval is obtained from the Sanofi function owning this document.</w:t>
    </w:r>
    <w:r>
      <w:rPr>
        <w:rFonts w:ascii="Verdana" w:eastAsia="Verdana" w:hAnsi="Verdana" w:cs="Verdana"/>
        <w:b/>
        <w:color w:val="595959"/>
        <w:sz w:val="14"/>
      </w:rPr>
      <w:t xml:space="preserve"> </w:t>
    </w:r>
  </w:p>
  <w:p w14:paraId="31ABB489" w14:textId="77777777" w:rsidR="00447DBB" w:rsidRDefault="0050794A">
    <w:pPr>
      <w:spacing w:after="0"/>
      <w:ind w:left="16"/>
      <w:jc w:val="center"/>
    </w:pPr>
    <w:r>
      <w:rPr>
        <w:rFonts w:ascii="Verdana" w:eastAsia="Verdana" w:hAnsi="Verdana" w:cs="Verdana"/>
        <w:color w:val="595959"/>
        <w:sz w:val="14"/>
      </w:rPr>
      <w:t>Printed documents must be checked against Intranet to ensure the use of the latest effective version</w:t>
    </w:r>
    <w:r>
      <w:rPr>
        <w:rFonts w:ascii="Verdana" w:eastAsia="Verdana" w:hAnsi="Verdana" w:cs="Verdana"/>
        <w:color w:val="FF0000"/>
        <w:sz w:val="14"/>
      </w:rPr>
      <w:t>.</w:t>
    </w:r>
    <w:r>
      <w:rPr>
        <w:rFonts w:ascii="Verdana" w:eastAsia="Verdana" w:hAnsi="Verdana" w:cs="Verdana"/>
        <w:b/>
        <w:color w:val="FF0000"/>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09F00" w14:textId="77777777" w:rsidR="0050794A" w:rsidRDefault="0050794A">
      <w:pPr>
        <w:spacing w:after="0" w:line="240" w:lineRule="auto"/>
      </w:pPr>
      <w:r>
        <w:separator/>
      </w:r>
    </w:p>
  </w:footnote>
  <w:footnote w:type="continuationSeparator" w:id="0">
    <w:p w14:paraId="6FDB26C6" w14:textId="77777777" w:rsidR="0050794A" w:rsidRDefault="00507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B1C4E" w14:textId="77777777" w:rsidR="00447DBB" w:rsidRDefault="0050794A">
    <w:pPr>
      <w:spacing w:after="0"/>
      <w:ind w:left="1" w:right="-75"/>
      <w:jc w:val="center"/>
    </w:pPr>
    <w:r>
      <w:rPr>
        <w:noProof/>
      </w:rPr>
      <w:drawing>
        <wp:anchor distT="0" distB="0" distL="114300" distR="114300" simplePos="0" relativeHeight="251658240" behindDoc="0" locked="0" layoutInCell="1" allowOverlap="0" wp14:anchorId="264CA9A9" wp14:editId="6615705D">
          <wp:simplePos x="0" y="0"/>
          <wp:positionH relativeFrom="page">
            <wp:posOffset>1137641</wp:posOffset>
          </wp:positionH>
          <wp:positionV relativeFrom="page">
            <wp:posOffset>701675</wp:posOffset>
          </wp:positionV>
          <wp:extent cx="1416685" cy="847090"/>
          <wp:effectExtent l="0" t="0" r="0" b="0"/>
          <wp:wrapSquare wrapText="bothSides"/>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1416685" cy="847090"/>
                  </a:xfrm>
                  <a:prstGeom prst="rect">
                    <a:avLst/>
                  </a:prstGeom>
                </pic:spPr>
              </pic:pic>
            </a:graphicData>
          </a:graphic>
        </wp:anchor>
      </w:drawing>
    </w:r>
    <w:r>
      <w:rPr>
        <w:noProof/>
      </w:rPr>
      <w:drawing>
        <wp:anchor distT="0" distB="0" distL="114300" distR="114300" simplePos="0" relativeHeight="251659264" behindDoc="0" locked="0" layoutInCell="1" allowOverlap="0" wp14:anchorId="5F8493EC" wp14:editId="7C2BB366">
          <wp:simplePos x="0" y="0"/>
          <wp:positionH relativeFrom="page">
            <wp:posOffset>5545709</wp:posOffset>
          </wp:positionH>
          <wp:positionV relativeFrom="page">
            <wp:posOffset>449580</wp:posOffset>
          </wp:positionV>
          <wp:extent cx="1099185" cy="1099185"/>
          <wp:effectExtent l="0" t="0" r="0" b="0"/>
          <wp:wrapSquare wrapText="bothSides"/>
          <wp:docPr id="29" name="Pictu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
                  <a:stretch>
                    <a:fillRect/>
                  </a:stretch>
                </pic:blipFill>
                <pic:spPr>
                  <a:xfrm>
                    <a:off x="0" y="0"/>
                    <a:ext cx="1099185" cy="1099185"/>
                  </a:xfrm>
                  <a:prstGeom prst="rect">
                    <a:avLst/>
                  </a:prstGeom>
                </pic:spPr>
              </pic:pic>
            </a:graphicData>
          </a:graphic>
        </wp:anchor>
      </w:drawing>
    </w:r>
    <w:r>
      <w:rPr>
        <w:rFonts w:ascii="Verdana" w:eastAsia="Verdana" w:hAnsi="Verdana" w:cs="Verdana"/>
        <w:color w:val="595959"/>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52CE" w14:textId="6F1FC131" w:rsidR="00447DBB" w:rsidRDefault="0050794A">
    <w:pPr>
      <w:spacing w:after="0"/>
      <w:ind w:left="1" w:right="-75"/>
      <w:jc w:val="center"/>
    </w:pPr>
    <w:r>
      <w:rPr>
        <w:noProof/>
      </w:rPr>
      <w:drawing>
        <wp:anchor distT="0" distB="0" distL="114300" distR="114300" simplePos="0" relativeHeight="251661312" behindDoc="0" locked="0" layoutInCell="1" allowOverlap="0" wp14:anchorId="02F244D8" wp14:editId="30436904">
          <wp:simplePos x="0" y="0"/>
          <wp:positionH relativeFrom="margin">
            <wp:align>right</wp:align>
          </wp:positionH>
          <wp:positionV relativeFrom="page">
            <wp:align>top</wp:align>
          </wp:positionV>
          <wp:extent cx="1099185" cy="1099185"/>
          <wp:effectExtent l="0" t="0" r="0" b="0"/>
          <wp:wrapSquare wrapText="bothSides"/>
          <wp:docPr id="969883056" name="Picture 969883056"/>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stretch>
                    <a:fillRect/>
                  </a:stretch>
                </pic:blipFill>
                <pic:spPr>
                  <a:xfrm>
                    <a:off x="0" y="0"/>
                    <a:ext cx="1099185" cy="1099185"/>
                  </a:xfrm>
                  <a:prstGeom prst="rect">
                    <a:avLst/>
                  </a:prstGeom>
                </pic:spPr>
              </pic:pic>
            </a:graphicData>
          </a:graphic>
        </wp:anchor>
      </w:drawing>
    </w:r>
    <w:r>
      <w:rPr>
        <w:noProof/>
      </w:rPr>
      <w:drawing>
        <wp:anchor distT="0" distB="0" distL="114300" distR="114300" simplePos="0" relativeHeight="251660288" behindDoc="0" locked="0" layoutInCell="1" allowOverlap="0" wp14:anchorId="338E5B1F" wp14:editId="68F0B52F">
          <wp:simplePos x="0" y="0"/>
          <wp:positionH relativeFrom="page">
            <wp:posOffset>1007745</wp:posOffset>
          </wp:positionH>
          <wp:positionV relativeFrom="topMargin">
            <wp:align>bottom</wp:align>
          </wp:positionV>
          <wp:extent cx="1416685" cy="847090"/>
          <wp:effectExtent l="0" t="0" r="0" b="0"/>
          <wp:wrapSquare wrapText="bothSides"/>
          <wp:docPr id="1502612420" name="Picture 1502612420"/>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
                  <a:stretch>
                    <a:fillRect/>
                  </a:stretch>
                </pic:blipFill>
                <pic:spPr>
                  <a:xfrm>
                    <a:off x="0" y="0"/>
                    <a:ext cx="1416685" cy="847090"/>
                  </a:xfrm>
                  <a:prstGeom prst="rect">
                    <a:avLst/>
                  </a:prstGeom>
                </pic:spPr>
              </pic:pic>
            </a:graphicData>
          </a:graphic>
        </wp:anchor>
      </w:drawing>
    </w:r>
    <w:r>
      <w:rPr>
        <w:rFonts w:ascii="Verdana" w:eastAsia="Verdana" w:hAnsi="Verdana" w:cs="Verdana"/>
        <w:color w:val="595959"/>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8AE1E" w14:textId="77777777" w:rsidR="00447DBB" w:rsidRDefault="0050794A">
    <w:pPr>
      <w:spacing w:after="0"/>
      <w:ind w:left="1" w:right="-75"/>
      <w:jc w:val="center"/>
    </w:pPr>
    <w:r>
      <w:rPr>
        <w:noProof/>
      </w:rPr>
      <w:drawing>
        <wp:anchor distT="0" distB="0" distL="114300" distR="114300" simplePos="0" relativeHeight="251662336" behindDoc="0" locked="0" layoutInCell="1" allowOverlap="0" wp14:anchorId="2523CAAE" wp14:editId="69234C6D">
          <wp:simplePos x="0" y="0"/>
          <wp:positionH relativeFrom="page">
            <wp:posOffset>1137641</wp:posOffset>
          </wp:positionH>
          <wp:positionV relativeFrom="page">
            <wp:posOffset>701675</wp:posOffset>
          </wp:positionV>
          <wp:extent cx="1416685" cy="847090"/>
          <wp:effectExtent l="0" t="0" r="0" b="0"/>
          <wp:wrapSquare wrapText="bothSides"/>
          <wp:docPr id="568922225" name="Picture 568922225"/>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stretch>
                    <a:fillRect/>
                  </a:stretch>
                </pic:blipFill>
                <pic:spPr>
                  <a:xfrm>
                    <a:off x="0" y="0"/>
                    <a:ext cx="1416685" cy="847090"/>
                  </a:xfrm>
                  <a:prstGeom prst="rect">
                    <a:avLst/>
                  </a:prstGeom>
                </pic:spPr>
              </pic:pic>
            </a:graphicData>
          </a:graphic>
        </wp:anchor>
      </w:drawing>
    </w:r>
    <w:r>
      <w:rPr>
        <w:noProof/>
      </w:rPr>
      <w:drawing>
        <wp:anchor distT="0" distB="0" distL="114300" distR="114300" simplePos="0" relativeHeight="251663360" behindDoc="0" locked="0" layoutInCell="1" allowOverlap="0" wp14:anchorId="0A37F2ED" wp14:editId="1F6F3535">
          <wp:simplePos x="0" y="0"/>
          <wp:positionH relativeFrom="page">
            <wp:posOffset>5545709</wp:posOffset>
          </wp:positionH>
          <wp:positionV relativeFrom="page">
            <wp:posOffset>449580</wp:posOffset>
          </wp:positionV>
          <wp:extent cx="1099185" cy="1099185"/>
          <wp:effectExtent l="0" t="0" r="0" b="0"/>
          <wp:wrapSquare wrapText="bothSides"/>
          <wp:docPr id="686912307" name="Picture 686912307"/>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
                  <a:stretch>
                    <a:fillRect/>
                  </a:stretch>
                </pic:blipFill>
                <pic:spPr>
                  <a:xfrm>
                    <a:off x="0" y="0"/>
                    <a:ext cx="1099185" cy="1099185"/>
                  </a:xfrm>
                  <a:prstGeom prst="rect">
                    <a:avLst/>
                  </a:prstGeom>
                </pic:spPr>
              </pic:pic>
            </a:graphicData>
          </a:graphic>
        </wp:anchor>
      </w:drawing>
    </w:r>
    <w:r>
      <w:rPr>
        <w:rFonts w:ascii="Verdana" w:eastAsia="Verdana" w:hAnsi="Verdana" w:cs="Verdana"/>
        <w:color w:val="595959"/>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966827"/>
    <w:multiLevelType w:val="hybridMultilevel"/>
    <w:tmpl w:val="F3D6FB9A"/>
    <w:lvl w:ilvl="0" w:tplc="F30CD29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B069E6A">
      <w:start w:val="1"/>
      <w:numFmt w:val="bullet"/>
      <w:lvlText w:val="o"/>
      <w:lvlJc w:val="left"/>
      <w:pPr>
        <w:ind w:left="15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6C44466">
      <w:start w:val="1"/>
      <w:numFmt w:val="bullet"/>
      <w:lvlText w:val="▪"/>
      <w:lvlJc w:val="left"/>
      <w:pPr>
        <w:ind w:left="22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B3424B4">
      <w:start w:val="1"/>
      <w:numFmt w:val="bullet"/>
      <w:lvlText w:val="•"/>
      <w:lvlJc w:val="left"/>
      <w:pPr>
        <w:ind w:left="2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B817C0">
      <w:start w:val="1"/>
      <w:numFmt w:val="bullet"/>
      <w:lvlText w:val="o"/>
      <w:lvlJc w:val="left"/>
      <w:pPr>
        <w:ind w:left="37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4102364">
      <w:start w:val="1"/>
      <w:numFmt w:val="bullet"/>
      <w:lvlText w:val="▪"/>
      <w:lvlJc w:val="left"/>
      <w:pPr>
        <w:ind w:left="44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CD426EE">
      <w:start w:val="1"/>
      <w:numFmt w:val="bullet"/>
      <w:lvlText w:val="•"/>
      <w:lvlJc w:val="left"/>
      <w:pPr>
        <w:ind w:left="5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EA044C">
      <w:start w:val="1"/>
      <w:numFmt w:val="bullet"/>
      <w:lvlText w:val="o"/>
      <w:lvlJc w:val="left"/>
      <w:pPr>
        <w:ind w:left="58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CCC1F6">
      <w:start w:val="1"/>
      <w:numFmt w:val="bullet"/>
      <w:lvlText w:val="▪"/>
      <w:lvlJc w:val="left"/>
      <w:pPr>
        <w:ind w:left="6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623415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DBB"/>
    <w:rsid w:val="000F092D"/>
    <w:rsid w:val="00126A62"/>
    <w:rsid w:val="0017699E"/>
    <w:rsid w:val="003E6EC3"/>
    <w:rsid w:val="00447DBB"/>
    <w:rsid w:val="0050794A"/>
    <w:rsid w:val="00A63F7D"/>
    <w:rsid w:val="00C11B52"/>
    <w:rsid w:val="00FA3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D4764"/>
  <w15:docId w15:val="{7E949230-E113-4225-9090-2EE60D892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683</Words>
  <Characters>3897</Characters>
  <Application>Microsoft Office Word</Application>
  <DocSecurity>0</DocSecurity>
  <Lines>32</Lines>
  <Paragraphs>9</Paragraphs>
  <ScaleCrop>false</ScaleCrop>
  <Company>Sanofi</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Tanisha /GB</dc:creator>
  <cp:keywords/>
  <cp:lastModifiedBy>McCormick, Kelly /GB</cp:lastModifiedBy>
  <cp:revision>3</cp:revision>
  <dcterms:created xsi:type="dcterms:W3CDTF">2025-05-22T09:38:00Z</dcterms:created>
  <dcterms:modified xsi:type="dcterms:W3CDTF">2025-05-23T08:02:00Z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2025-05-22T09:20:38Z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becb1285-f9a1-4b6e-b4e7-6413d80836ec</vt:lpwstr>
  </property>
  <property fmtid="{D5CDD505-2E9C-101B-9397-08002B2CF9AE}" pid="8" name="MSIP_Label_d9088468-0951-4aef-9cc3-0a346e475ddc_ContentBits">
    <vt:lpwstr>0</vt:lpwstr>
  </property>
</Properties>
</file>